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2904" w14:textId="757242AA" w:rsidR="0046182B" w:rsidRDefault="003F3DE8" w:rsidP="000E1E41">
      <w:pPr>
        <w:pStyle w:val="14bldcentr"/>
        <w:rPr>
          <w:noProof/>
        </w:rPr>
      </w:pPr>
      <w:r w:rsidRPr="00550FC8">
        <w:t>A</w:t>
      </w:r>
      <w:r>
        <w:t>D</w:t>
      </w:r>
      <w:r w:rsidRPr="00550FC8">
        <w:t xml:space="preserve">DENDUM </w:t>
      </w:r>
      <w:r w:rsidR="002049B0">
        <w:rPr>
          <w:noProof/>
        </w:rPr>
        <w:t>TWO</w:t>
      </w:r>
      <w:bookmarkStart w:id="0" w:name="_GoBack"/>
      <w:bookmarkEnd w:id="0"/>
    </w:p>
    <w:p w14:paraId="377C60FC" w14:textId="6F068B38" w:rsidR="003F3DE8" w:rsidRPr="00550FC8" w:rsidRDefault="00861167" w:rsidP="00861167">
      <w:pPr>
        <w:pStyle w:val="14bldcentr"/>
      </w:pPr>
      <w:r>
        <w:rPr>
          <w:noProof/>
        </w:rPr>
        <w:t xml:space="preserve">SCHEDULE OF EVENTS AND </w:t>
      </w:r>
      <w:r w:rsidR="003F3DE8">
        <w:t>QUESTIONS and ANSWERS</w:t>
      </w:r>
    </w:p>
    <w:p w14:paraId="39A177EB" w14:textId="77777777" w:rsidR="003F3DE8" w:rsidRPr="00BD5697" w:rsidRDefault="003F3DE8" w:rsidP="000E1E41">
      <w:pPr>
        <w:pStyle w:val="Level1Body"/>
      </w:pPr>
    </w:p>
    <w:p w14:paraId="58FAE496" w14:textId="614965E7" w:rsidR="003F3DE8" w:rsidRPr="00BD5697" w:rsidRDefault="003F3DE8" w:rsidP="000E1E41">
      <w:pPr>
        <w:pStyle w:val="Level1Body"/>
      </w:pPr>
      <w:r w:rsidRPr="00BD5697">
        <w:t>Date</w:t>
      </w:r>
      <w:r>
        <w:t>:</w:t>
      </w:r>
      <w:r>
        <w:tab/>
      </w:r>
      <w:r>
        <w:tab/>
      </w:r>
      <w:r w:rsidR="009C51C0">
        <w:rPr>
          <w:noProof/>
        </w:rPr>
        <w:t>January 31</w:t>
      </w:r>
      <w:r w:rsidRPr="00C92D0A">
        <w:rPr>
          <w:noProof/>
        </w:rPr>
        <w:t>, 2020</w:t>
      </w:r>
      <w:r w:rsidRPr="00BD5697">
        <w:tab/>
      </w:r>
    </w:p>
    <w:p w14:paraId="2C2027BC" w14:textId="77777777" w:rsidR="003F3DE8" w:rsidRPr="00BD5697" w:rsidRDefault="003F3DE8" w:rsidP="000E1E41">
      <w:pPr>
        <w:pStyle w:val="Level1Body"/>
      </w:pPr>
    </w:p>
    <w:p w14:paraId="68A12E96" w14:textId="77777777" w:rsidR="003F3DE8" w:rsidRPr="00BD5697" w:rsidRDefault="003F3DE8" w:rsidP="000E1E41">
      <w:pPr>
        <w:pStyle w:val="Level1Body"/>
      </w:pPr>
      <w:r w:rsidRPr="00BD5697">
        <w:t>To:</w:t>
      </w:r>
      <w:r w:rsidRPr="00BD5697">
        <w:tab/>
      </w:r>
      <w:r w:rsidRPr="00BD5697">
        <w:tab/>
        <w:t xml:space="preserve">All Bidders </w:t>
      </w:r>
    </w:p>
    <w:p w14:paraId="0A8521CA" w14:textId="77777777" w:rsidR="003F3DE8" w:rsidRPr="00930751" w:rsidRDefault="003F3DE8" w:rsidP="000E1E41">
      <w:pPr>
        <w:pStyle w:val="Level1Body"/>
        <w:rPr>
          <w:sz w:val="20"/>
        </w:rPr>
      </w:pPr>
    </w:p>
    <w:p w14:paraId="306DE813" w14:textId="77777777" w:rsidR="003F3DE8" w:rsidRDefault="003F3DE8" w:rsidP="00F10BEC">
      <w:pPr>
        <w:pStyle w:val="Level1Body"/>
      </w:pPr>
      <w:r w:rsidRPr="00BD5697">
        <w:t>From:</w:t>
      </w:r>
      <w:r w:rsidRPr="00BD5697">
        <w:tab/>
      </w:r>
      <w:r>
        <w:tab/>
      </w:r>
      <w:r w:rsidRPr="00C92D0A">
        <w:rPr>
          <w:noProof/>
        </w:rPr>
        <w:t>Dianna Gilliland</w:t>
      </w:r>
      <w:r w:rsidR="0046182B">
        <w:t>/Annette Walton,</w:t>
      </w:r>
      <w:r w:rsidRPr="00BD5697">
        <w:t xml:space="preserve"> Buyer</w:t>
      </w:r>
      <w:r w:rsidR="0046182B">
        <w:t>s</w:t>
      </w:r>
    </w:p>
    <w:p w14:paraId="036CE265" w14:textId="77777777" w:rsidR="003F3DE8" w:rsidRDefault="003F3DE8" w:rsidP="000E1E41">
      <w:pPr>
        <w:pStyle w:val="Level3Body"/>
      </w:pPr>
      <w:r w:rsidRPr="00C92D0A">
        <w:rPr>
          <w:noProof/>
        </w:rPr>
        <w:t>AS Materiel State Purchasing Burea</w:t>
      </w:r>
      <w:r w:rsidR="00A070A7">
        <w:rPr>
          <w:noProof/>
        </w:rPr>
        <w:t>u</w:t>
      </w:r>
    </w:p>
    <w:p w14:paraId="0335E6BB" w14:textId="77777777" w:rsidR="003F3DE8" w:rsidRPr="00930751" w:rsidRDefault="003F3DE8" w:rsidP="000E1E41">
      <w:pPr>
        <w:pStyle w:val="Level1Body"/>
        <w:rPr>
          <w:sz w:val="20"/>
        </w:rPr>
      </w:pPr>
    </w:p>
    <w:p w14:paraId="45E14397" w14:textId="77777777" w:rsidR="0046182B" w:rsidRDefault="00A070A7" w:rsidP="004152A3">
      <w:pPr>
        <w:pStyle w:val="Level1Body"/>
        <w:ind w:left="1440" w:hanging="1440"/>
      </w:pPr>
      <w:r>
        <w:t>RE:</w:t>
      </w:r>
      <w:r>
        <w:tab/>
      </w:r>
      <w:r w:rsidR="003F3DE8">
        <w:t xml:space="preserve">Addendum for </w:t>
      </w:r>
      <w:r w:rsidR="003F3DE8" w:rsidRPr="00C92D0A">
        <w:rPr>
          <w:noProof/>
        </w:rPr>
        <w:t>Request for Proposal</w:t>
      </w:r>
      <w:r w:rsidR="003F3DE8">
        <w:t xml:space="preserve"> </w:t>
      </w:r>
      <w:r w:rsidR="003F3DE8" w:rsidRPr="00C92D0A">
        <w:rPr>
          <w:noProof/>
        </w:rPr>
        <w:t>6206</w:t>
      </w:r>
      <w:r w:rsidR="003F3DE8">
        <w:t xml:space="preserve"> </w:t>
      </w:r>
      <w:r w:rsidR="003F3DE8" w:rsidRPr="00C92D0A">
        <w:rPr>
          <w:noProof/>
        </w:rPr>
        <w:t>Z1</w:t>
      </w:r>
      <w:r w:rsidR="003F3DE8">
        <w:t xml:space="preserve"> to be opened on </w:t>
      </w:r>
      <w:r w:rsidR="003F3DE8" w:rsidRPr="00C92D0A">
        <w:rPr>
          <w:noProof/>
        </w:rPr>
        <w:t>February 14, 2020</w:t>
      </w:r>
      <w:r w:rsidR="003F3DE8">
        <w:t xml:space="preserve">, </w:t>
      </w:r>
    </w:p>
    <w:p w14:paraId="6DEABF69" w14:textId="77777777" w:rsidR="003F3DE8" w:rsidRPr="00FB04DC" w:rsidRDefault="003F3DE8" w:rsidP="0046182B">
      <w:pPr>
        <w:pStyle w:val="Level1Body"/>
        <w:ind w:left="1440"/>
      </w:pPr>
      <w:proofErr w:type="gramStart"/>
      <w:r>
        <w:t>at</w:t>
      </w:r>
      <w:proofErr w:type="gramEnd"/>
      <w:r>
        <w:t xml:space="preserve"> 2:00 P.M. Central Time</w:t>
      </w:r>
    </w:p>
    <w:p w14:paraId="61BE21E5" w14:textId="77777777" w:rsidR="003F3DE8" w:rsidRPr="00861167" w:rsidRDefault="003F3DE8" w:rsidP="00FB04DC">
      <w:pPr>
        <w:pStyle w:val="Level1Body"/>
        <w:rPr>
          <w:sz w:val="16"/>
          <w:szCs w:val="16"/>
        </w:rPr>
      </w:pPr>
    </w:p>
    <w:p w14:paraId="562726AE" w14:textId="77777777" w:rsidR="003F3DE8" w:rsidRPr="00FB04DC" w:rsidRDefault="003F3DE8" w:rsidP="00FB04DC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1A7D13" wp14:editId="003D3320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6C80" id="Rectangle 2" o:spid="_x0000_s1026" style="position:absolute;margin-left:0;margin-top:0;width:540pt;height:7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U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PKVMtT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3703CEE8" w14:textId="77777777" w:rsidR="003F3DE8" w:rsidRPr="00FB04DC" w:rsidRDefault="003F3DE8" w:rsidP="00FB04DC">
      <w:pPr>
        <w:pStyle w:val="Level1Body"/>
        <w:sectPr w:rsidR="003F3DE8" w:rsidRPr="00FB04DC" w:rsidSect="003F3DE8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008" w:right="1008" w:bottom="1008" w:left="1008" w:header="360" w:footer="360" w:gutter="0"/>
          <w:pgNumType w:start="1"/>
          <w:cols w:space="720"/>
          <w:noEndnote/>
          <w:docGrid w:linePitch="299"/>
        </w:sectPr>
      </w:pPr>
    </w:p>
    <w:p w14:paraId="28257120" w14:textId="3B111F55" w:rsidR="003F3DE8" w:rsidRPr="00BD5697" w:rsidRDefault="00861167" w:rsidP="00565F30">
      <w:pPr>
        <w:pStyle w:val="Heading4"/>
      </w:pPr>
      <w:r>
        <w:t xml:space="preserve">Schedule of Events and </w:t>
      </w:r>
      <w:r w:rsidR="003F3DE8">
        <w:t>Questions and Answers</w:t>
      </w:r>
    </w:p>
    <w:p w14:paraId="3F71A01B" w14:textId="066845F6" w:rsidR="003F3DE8" w:rsidRPr="00861167" w:rsidRDefault="003F3DE8" w:rsidP="00565F30">
      <w:pPr>
        <w:pStyle w:val="Level1Body"/>
        <w:rPr>
          <w:sz w:val="16"/>
          <w:szCs w:val="16"/>
        </w:rPr>
      </w:pPr>
    </w:p>
    <w:p w14:paraId="6950A5E3" w14:textId="0AB41117" w:rsidR="00861167" w:rsidRDefault="00861167" w:rsidP="00565F30">
      <w:pPr>
        <w:pStyle w:val="Level1Body"/>
        <w:rPr>
          <w:sz w:val="20"/>
        </w:rPr>
      </w:pPr>
      <w:r w:rsidRPr="003A3994">
        <w:rPr>
          <w:sz w:val="20"/>
        </w:rPr>
        <w:t>The State expects to adhere to the tentative procurement schedule shown below.  It should be no</w:t>
      </w:r>
      <w:r w:rsidRPr="003A3994">
        <w:rPr>
          <w:sz w:val="20"/>
        </w:rPr>
        <w:t>t</w:t>
      </w:r>
      <w:r w:rsidRPr="003A3994">
        <w:rPr>
          <w:sz w:val="20"/>
        </w:rPr>
        <w:t>ed, however, that some dates are approximate and subject to change.  It is the Bidder’s responsibi</w:t>
      </w:r>
      <w:r w:rsidRPr="003A3994">
        <w:rPr>
          <w:sz w:val="20"/>
        </w:rPr>
        <w:t>l</w:t>
      </w:r>
      <w:r w:rsidRPr="003A3994">
        <w:rPr>
          <w:sz w:val="20"/>
        </w:rPr>
        <w:t>ity to check the State Purchasing Bureau website for all addenda or amendments.</w:t>
      </w:r>
    </w:p>
    <w:p w14:paraId="040AF9CC" w14:textId="341DADA0" w:rsidR="00861167" w:rsidRDefault="00861167" w:rsidP="00565F30">
      <w:pPr>
        <w:pStyle w:val="Level1Body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4"/>
        <w:gridCol w:w="6120"/>
        <w:gridCol w:w="2509"/>
      </w:tblGrid>
      <w:tr w:rsidR="00861167" w14:paraId="353C462D" w14:textId="77777777" w:rsidTr="00AC01C1">
        <w:trPr>
          <w:cantSplit/>
          <w:tblHeader/>
        </w:trPr>
        <w:tc>
          <w:tcPr>
            <w:tcW w:w="6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BA7252" w14:textId="77777777" w:rsidR="00861167" w:rsidRDefault="00861167" w:rsidP="00861167">
            <w:pPr>
              <w:keepNext/>
              <w:spacing w:before="0"/>
              <w:rPr>
                <w:rStyle w:val="Glossary-Bold"/>
                <w:szCs w:val="18"/>
              </w:rPr>
            </w:pPr>
            <w:r>
              <w:rPr>
                <w:rStyle w:val="Glossary-Bold"/>
                <w:szCs w:val="18"/>
              </w:rPr>
              <w:t>ACTIVITY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CC0A30E" w14:textId="77777777" w:rsidR="00861167" w:rsidRDefault="00861167" w:rsidP="00861167">
            <w:pPr>
              <w:keepNext/>
              <w:spacing w:before="0"/>
              <w:rPr>
                <w:rStyle w:val="Glossary-Bold"/>
                <w:szCs w:val="18"/>
              </w:rPr>
            </w:pPr>
            <w:r>
              <w:rPr>
                <w:rStyle w:val="Glossary-Bold"/>
                <w:szCs w:val="18"/>
              </w:rPr>
              <w:t>DATE/TIME</w:t>
            </w:r>
          </w:p>
        </w:tc>
      </w:tr>
      <w:tr w:rsidR="00861167" w14:paraId="1F875925" w14:textId="77777777" w:rsidTr="00AC01C1">
        <w:trPr>
          <w:cantSplit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CEA03" w14:textId="77777777" w:rsidR="00861167" w:rsidRDefault="00861167" w:rsidP="00861167">
            <w:pPr>
              <w:keepNext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61BC" w14:textId="77777777" w:rsidR="00861167" w:rsidRDefault="00861167" w:rsidP="00AC01C1">
            <w:pPr>
              <w:pStyle w:val="SchedofEventsbody-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responds to additional written questions through Solicitation “Addendum” and/or “Amendment” to be posted to the Internet at:</w:t>
            </w:r>
          </w:p>
          <w:p w14:paraId="66D451AC" w14:textId="77777777" w:rsidR="00861167" w:rsidRDefault="00861167" w:rsidP="00AC01C1">
            <w:pPr>
              <w:pStyle w:val="SchedofEventsbody-Left"/>
              <w:rPr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sz w:val="18"/>
                  <w:szCs w:val="18"/>
                </w:rPr>
                <w:t>http://das.nebraska.gov/materiel/purchasing.html</w:t>
              </w:r>
            </w:hyperlink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E0E4B" w14:textId="77777777" w:rsidR="00861167" w:rsidRDefault="00861167" w:rsidP="00AC01C1">
            <w:pPr>
              <w:pStyle w:val="SchedofEventsbody-Lef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31, 2020</w:t>
            </w:r>
          </w:p>
        </w:tc>
      </w:tr>
      <w:tr w:rsidR="00861167" w14:paraId="718CF5C1" w14:textId="77777777" w:rsidTr="00AC01C1">
        <w:trPr>
          <w:cantSplit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3AAB2" w14:textId="77777777" w:rsidR="00861167" w:rsidRDefault="00861167" w:rsidP="00AC01C1">
            <w:pPr>
              <w:keepNext/>
              <w:widowControl/>
              <w:autoSpaceDE/>
              <w:autoSpaceDN/>
              <w:adjustRightInd/>
              <w:spacing w:before="0"/>
              <w:ind w:left="1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848BA" w14:textId="77777777" w:rsidR="00861167" w:rsidRDefault="00861167" w:rsidP="00AC01C1">
            <w:pPr>
              <w:pStyle w:val="SchedofEventsbody-Lef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Proposal Opening</w:t>
            </w:r>
            <w:r>
              <w:rPr>
                <w:sz w:val="18"/>
                <w:szCs w:val="18"/>
              </w:rPr>
              <w:br/>
            </w:r>
          </w:p>
          <w:p w14:paraId="41BAEE26" w14:textId="77777777" w:rsidR="00861167" w:rsidRDefault="00861167" w:rsidP="00AC01C1">
            <w:pPr>
              <w:pStyle w:val="SchedofEventsbody-Lef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</w:t>
            </w:r>
            <w:r>
              <w:rPr>
                <w:sz w:val="18"/>
                <w:szCs w:val="18"/>
              </w:rPr>
              <w:tab/>
              <w:t>State Purchasing Bureau</w:t>
            </w:r>
          </w:p>
          <w:p w14:paraId="3B4EF4D5" w14:textId="77777777" w:rsidR="00861167" w:rsidRDefault="00861167" w:rsidP="00AC01C1">
            <w:pPr>
              <w:pStyle w:val="SchedofEventsbody-Lef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1526 K Street, Suite 130</w:t>
            </w:r>
          </w:p>
          <w:p w14:paraId="5F135EBA" w14:textId="77777777" w:rsidR="00861167" w:rsidRDefault="00861167" w:rsidP="00AC01C1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Lincoln, NE 68508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25ED20" w14:textId="77777777" w:rsidR="00861167" w:rsidRDefault="00861167" w:rsidP="00AC01C1">
            <w:pPr>
              <w:pStyle w:val="SchedofEventsbody-Lef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14, 2020</w:t>
            </w:r>
          </w:p>
          <w:p w14:paraId="1B069927" w14:textId="77777777" w:rsidR="00861167" w:rsidRDefault="00861167" w:rsidP="00AC01C1">
            <w:pPr>
              <w:pStyle w:val="SchedofEventsbody-Lef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PM</w:t>
            </w:r>
          </w:p>
          <w:p w14:paraId="672E2D4E" w14:textId="77777777" w:rsidR="00861167" w:rsidRDefault="00861167" w:rsidP="00AC01C1">
            <w:pPr>
              <w:pStyle w:val="SchedofEventsbody-Lef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 Time</w:t>
            </w:r>
          </w:p>
        </w:tc>
      </w:tr>
      <w:tr w:rsidR="00861167" w14:paraId="003E58BC" w14:textId="77777777" w:rsidTr="00AC01C1">
        <w:trPr>
          <w:cantSplit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CE6F2" w14:textId="77777777" w:rsidR="00861167" w:rsidRDefault="00861167" w:rsidP="00AC01C1">
            <w:pPr>
              <w:keepNext/>
              <w:widowControl/>
              <w:autoSpaceDE/>
              <w:autoSpaceDN/>
              <w:adjustRightInd/>
              <w:spacing w:before="0"/>
              <w:ind w:left="1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4B93E" w14:textId="77777777" w:rsidR="00861167" w:rsidRDefault="00861167" w:rsidP="00AC01C1">
            <w:pPr>
              <w:pStyle w:val="SchedofEventsbody-Lef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for conformance to solicitation requirements 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734582" w14:textId="77777777" w:rsidR="00861167" w:rsidRDefault="00861167" w:rsidP="00AC01C1">
            <w:pPr>
              <w:pStyle w:val="SchedofEventsbody-Lef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14 – 19, 2020</w:t>
            </w:r>
          </w:p>
        </w:tc>
      </w:tr>
      <w:tr w:rsidR="00861167" w14:paraId="374B80F0" w14:textId="77777777" w:rsidTr="00AC01C1">
        <w:trPr>
          <w:cantSplit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EC2DD" w14:textId="77777777" w:rsidR="00861167" w:rsidRDefault="00861167" w:rsidP="00AC01C1">
            <w:pPr>
              <w:keepNext/>
              <w:widowControl/>
              <w:autoSpaceDE/>
              <w:autoSpaceDN/>
              <w:adjustRightInd/>
              <w:spacing w:before="0"/>
              <w:ind w:left="1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69CAF" w14:textId="77777777" w:rsidR="00861167" w:rsidRDefault="00861167" w:rsidP="00AC01C1">
            <w:pPr>
              <w:pStyle w:val="SchedofEventsbody-Lef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 period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815CC4D" w14:textId="77777777" w:rsidR="00861167" w:rsidRDefault="00861167" w:rsidP="00AC01C1">
            <w:pPr>
              <w:pStyle w:val="SchedofEventsbody-Lef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19 – 27, 2020</w:t>
            </w:r>
          </w:p>
        </w:tc>
      </w:tr>
      <w:tr w:rsidR="00861167" w14:paraId="6AD0F60B" w14:textId="77777777" w:rsidTr="00AC01C1">
        <w:trPr>
          <w:cantSplit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E3E4B" w14:textId="77777777" w:rsidR="00861167" w:rsidRDefault="00861167" w:rsidP="00AC01C1">
            <w:pPr>
              <w:keepNext/>
              <w:widowControl/>
              <w:autoSpaceDE/>
              <w:autoSpaceDN/>
              <w:adjustRightInd/>
              <w:spacing w:before="0"/>
              <w:ind w:left="1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8AB8B" w14:textId="77777777" w:rsidR="00861167" w:rsidRDefault="00861167" w:rsidP="00AC01C1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 “Notification of Intent to Award” to Internet at:  </w:t>
            </w:r>
            <w:hyperlink r:id="rId11" w:history="1">
              <w:r>
                <w:rPr>
                  <w:rStyle w:val="Hyperlink"/>
                  <w:sz w:val="18"/>
                  <w:szCs w:val="18"/>
                </w:rPr>
                <w:t>http://das.nebraska.gov/materiel/purchasing.html</w:t>
              </w:r>
            </w:hyperlink>
            <w:r>
              <w:rPr>
                <w:rStyle w:val="Level2BodyChar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69EDB5" w14:textId="77777777" w:rsidR="00861167" w:rsidRDefault="00861167" w:rsidP="00AC01C1">
            <w:pPr>
              <w:pStyle w:val="SchedofEventsbody-Lef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2, 2020</w:t>
            </w:r>
          </w:p>
        </w:tc>
      </w:tr>
      <w:tr w:rsidR="00861167" w14:paraId="636866F7" w14:textId="77777777" w:rsidTr="00AC01C1">
        <w:trPr>
          <w:cantSplit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BF429" w14:textId="77777777" w:rsidR="00861167" w:rsidRDefault="00861167" w:rsidP="00AC01C1">
            <w:pPr>
              <w:keepNext/>
              <w:widowControl/>
              <w:autoSpaceDE/>
              <w:autoSpaceDN/>
              <w:adjustRightInd/>
              <w:spacing w:before="0"/>
              <w:ind w:left="1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2C5F3" w14:textId="77777777" w:rsidR="00861167" w:rsidRDefault="00861167" w:rsidP="00AC01C1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Contract finalization period 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80DB43" w14:textId="77777777" w:rsidR="00861167" w:rsidRDefault="00861167" w:rsidP="00AC01C1">
            <w:pPr>
              <w:pStyle w:val="SchedofEventsbody-Lef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2 - 9, 2020</w:t>
            </w:r>
          </w:p>
        </w:tc>
      </w:tr>
      <w:tr w:rsidR="00861167" w14:paraId="6348B81B" w14:textId="77777777" w:rsidTr="00AC01C1">
        <w:trPr>
          <w:cantSplit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2F277" w14:textId="77777777" w:rsidR="00861167" w:rsidRDefault="00861167" w:rsidP="00AC01C1">
            <w:pPr>
              <w:keepNext/>
              <w:widowControl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C85D1" w14:textId="77777777" w:rsidR="00861167" w:rsidRDefault="00861167" w:rsidP="00AC01C1">
            <w:pPr>
              <w:pStyle w:val="SchedofEventsbody-Lef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award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E865A72" w14:textId="77777777" w:rsidR="00861167" w:rsidRDefault="00861167" w:rsidP="00AC01C1">
            <w:pPr>
              <w:pStyle w:val="SchedofEventsbody-Lef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9, 2020</w:t>
            </w:r>
          </w:p>
        </w:tc>
      </w:tr>
      <w:tr w:rsidR="00861167" w14:paraId="2DC7730D" w14:textId="77777777" w:rsidTr="00AC01C1">
        <w:trPr>
          <w:cantSplit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CBC4D6" w14:textId="77777777" w:rsidR="00861167" w:rsidRDefault="00861167" w:rsidP="00AC01C1">
            <w:pPr>
              <w:keepNext/>
              <w:widowControl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11.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4B4E8F" w14:textId="77777777" w:rsidR="00861167" w:rsidRDefault="00861167" w:rsidP="00AC01C1">
            <w:pPr>
              <w:pStyle w:val="SchedofEventsbody-Lef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Contractor start date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11B7DC" w14:textId="77777777" w:rsidR="00861167" w:rsidRDefault="00861167" w:rsidP="00AC01C1">
            <w:pPr>
              <w:pStyle w:val="SchedofEventsbody-Lef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9, 2020</w:t>
            </w:r>
          </w:p>
        </w:tc>
      </w:tr>
    </w:tbl>
    <w:p w14:paraId="2B96DD74" w14:textId="2BE23B3C" w:rsidR="00861167" w:rsidRPr="00930751" w:rsidRDefault="00861167" w:rsidP="00565F30">
      <w:pPr>
        <w:pStyle w:val="Level1Body"/>
        <w:rPr>
          <w:sz w:val="20"/>
        </w:rPr>
      </w:pPr>
    </w:p>
    <w:p w14:paraId="05181097" w14:textId="77777777" w:rsidR="003F3DE8" w:rsidRPr="00861167" w:rsidRDefault="003F3DE8" w:rsidP="00861167">
      <w:pPr>
        <w:pStyle w:val="Level1Body"/>
        <w:ind w:left="-720"/>
        <w:rPr>
          <w:sz w:val="20"/>
        </w:rPr>
      </w:pPr>
      <w:r w:rsidRPr="00861167">
        <w:rPr>
          <w:sz w:val="20"/>
        </w:rPr>
        <w:t xml:space="preserve">Following are the questions submitted and answers provided for the above mentioned </w:t>
      </w:r>
      <w:r w:rsidRPr="00861167">
        <w:rPr>
          <w:noProof/>
          <w:sz w:val="20"/>
        </w:rPr>
        <w:t>Request for Proposal</w:t>
      </w:r>
      <w:r w:rsidRPr="00861167">
        <w:rPr>
          <w:sz w:val="20"/>
        </w:rPr>
        <w:t xml:space="preserve">.  The questions and answers are to be considered as part of the </w:t>
      </w:r>
      <w:r w:rsidRPr="00861167">
        <w:rPr>
          <w:noProof/>
          <w:sz w:val="20"/>
        </w:rPr>
        <w:t>Request for Proposal</w:t>
      </w:r>
      <w:r w:rsidRPr="00861167">
        <w:rPr>
          <w:sz w:val="20"/>
        </w:rPr>
        <w:t>.  It is the Bidder’s responsibility to check the State Purchasing Bureau website for all addenda or amendments.</w:t>
      </w:r>
    </w:p>
    <w:p w14:paraId="07413019" w14:textId="77777777" w:rsidR="003F3DE8" w:rsidRPr="0069438D" w:rsidRDefault="003F3DE8" w:rsidP="0069438D">
      <w:pPr>
        <w:spacing w:before="0"/>
        <w:jc w:val="both"/>
        <w:rPr>
          <w:sz w:val="20"/>
          <w:szCs w:val="20"/>
        </w:rPr>
      </w:pPr>
    </w:p>
    <w:p w14:paraId="6ADEEE3F" w14:textId="77777777" w:rsidR="0069438D" w:rsidRPr="0069438D" w:rsidRDefault="0069438D" w:rsidP="0069438D">
      <w:pPr>
        <w:spacing w:before="0"/>
        <w:jc w:val="both"/>
        <w:rPr>
          <w:sz w:val="20"/>
          <w:szCs w:val="20"/>
        </w:rPr>
        <w:sectPr w:rsidR="0069438D" w:rsidRPr="0069438D" w:rsidSect="000E1E41">
          <w:footerReference w:type="default" r:id="rId12"/>
          <w:endnotePr>
            <w:numFmt w:val="decimal"/>
          </w:endnotePr>
          <w:type w:val="continuous"/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205"/>
        <w:gridCol w:w="928"/>
        <w:gridCol w:w="2629"/>
        <w:gridCol w:w="4999"/>
      </w:tblGrid>
      <w:tr w:rsidR="003F3DE8" w:rsidRPr="00D51B7A" w14:paraId="1A2061FA" w14:textId="77777777" w:rsidTr="00C53F9D">
        <w:trPr>
          <w:trHeight w:val="746"/>
        </w:trPr>
        <w:tc>
          <w:tcPr>
            <w:tcW w:w="1029" w:type="dxa"/>
            <w:shd w:val="clear" w:color="auto" w:fill="D8D8D8"/>
          </w:tcPr>
          <w:p w14:paraId="0566C573" w14:textId="77777777" w:rsidR="003F3DE8" w:rsidRPr="00D51B7A" w:rsidRDefault="003F3DE8" w:rsidP="002A0AF2">
            <w:pPr>
              <w:pStyle w:val="Level1Body"/>
              <w:jc w:val="center"/>
              <w:rPr>
                <w:rFonts w:cs="Arial"/>
                <w:sz w:val="20"/>
                <w:u w:val="single"/>
              </w:rPr>
            </w:pPr>
            <w:r w:rsidRPr="00D51B7A">
              <w:rPr>
                <w:rFonts w:cs="Arial"/>
                <w:sz w:val="20"/>
                <w:u w:val="single"/>
              </w:rPr>
              <w:t>Question Number</w:t>
            </w:r>
          </w:p>
        </w:tc>
        <w:tc>
          <w:tcPr>
            <w:tcW w:w="1205" w:type="dxa"/>
            <w:shd w:val="clear" w:color="auto" w:fill="D8D8D8"/>
          </w:tcPr>
          <w:p w14:paraId="52B1893E" w14:textId="77777777" w:rsidR="003F3DE8" w:rsidRPr="00D51B7A" w:rsidRDefault="003F3DE8" w:rsidP="002A0AF2">
            <w:pPr>
              <w:pStyle w:val="Level1Body"/>
              <w:jc w:val="center"/>
              <w:rPr>
                <w:rFonts w:cs="Arial"/>
                <w:sz w:val="20"/>
                <w:u w:val="single"/>
              </w:rPr>
            </w:pPr>
            <w:r w:rsidRPr="00D51B7A">
              <w:rPr>
                <w:rFonts w:cs="Arial"/>
                <w:sz w:val="20"/>
                <w:u w:val="single"/>
              </w:rPr>
              <w:t>RFP</w:t>
            </w:r>
          </w:p>
          <w:p w14:paraId="7FEAFFC3" w14:textId="77777777" w:rsidR="003F3DE8" w:rsidRPr="00D51B7A" w:rsidRDefault="003F3DE8" w:rsidP="002A0AF2">
            <w:pPr>
              <w:pStyle w:val="Level1Body"/>
              <w:jc w:val="center"/>
              <w:rPr>
                <w:rFonts w:cs="Arial"/>
                <w:sz w:val="20"/>
                <w:u w:val="single"/>
              </w:rPr>
            </w:pPr>
            <w:r w:rsidRPr="00D51B7A">
              <w:rPr>
                <w:rFonts w:cs="Arial"/>
                <w:sz w:val="20"/>
                <w:u w:val="single"/>
              </w:rPr>
              <w:t>Section</w:t>
            </w:r>
          </w:p>
          <w:p w14:paraId="7562DFC9" w14:textId="77777777" w:rsidR="003F3DE8" w:rsidRPr="00D51B7A" w:rsidRDefault="003F3DE8" w:rsidP="002A0AF2">
            <w:pPr>
              <w:pStyle w:val="Level1Body"/>
              <w:jc w:val="center"/>
              <w:rPr>
                <w:rFonts w:cs="Arial"/>
                <w:sz w:val="20"/>
                <w:u w:val="single"/>
              </w:rPr>
            </w:pPr>
            <w:r w:rsidRPr="00D51B7A">
              <w:rPr>
                <w:rFonts w:cs="Arial"/>
                <w:sz w:val="20"/>
                <w:u w:val="single"/>
              </w:rPr>
              <w:t>Reference</w:t>
            </w:r>
          </w:p>
        </w:tc>
        <w:tc>
          <w:tcPr>
            <w:tcW w:w="928" w:type="dxa"/>
            <w:shd w:val="clear" w:color="auto" w:fill="D8D8D8"/>
          </w:tcPr>
          <w:p w14:paraId="6D301D46" w14:textId="77777777" w:rsidR="003F3DE8" w:rsidRPr="00D51B7A" w:rsidRDefault="003F3DE8" w:rsidP="002A0AF2">
            <w:pPr>
              <w:pStyle w:val="Level1Body"/>
              <w:jc w:val="center"/>
              <w:rPr>
                <w:rFonts w:cs="Arial"/>
                <w:sz w:val="20"/>
                <w:u w:val="single"/>
              </w:rPr>
            </w:pPr>
            <w:r w:rsidRPr="00D51B7A">
              <w:rPr>
                <w:rFonts w:cs="Arial"/>
                <w:sz w:val="20"/>
                <w:u w:val="single"/>
              </w:rPr>
              <w:t>RFP</w:t>
            </w:r>
          </w:p>
          <w:p w14:paraId="69DFFEFD" w14:textId="77777777" w:rsidR="003F3DE8" w:rsidRPr="00D51B7A" w:rsidRDefault="003F3DE8" w:rsidP="002A0AF2">
            <w:pPr>
              <w:pStyle w:val="Level1Body"/>
              <w:jc w:val="center"/>
              <w:rPr>
                <w:rFonts w:cs="Arial"/>
                <w:sz w:val="20"/>
                <w:u w:val="single"/>
              </w:rPr>
            </w:pPr>
            <w:r w:rsidRPr="00D51B7A">
              <w:rPr>
                <w:rFonts w:cs="Arial"/>
                <w:sz w:val="20"/>
                <w:u w:val="single"/>
              </w:rPr>
              <w:t>Page Number</w:t>
            </w:r>
          </w:p>
        </w:tc>
        <w:tc>
          <w:tcPr>
            <w:tcW w:w="2629" w:type="dxa"/>
            <w:shd w:val="clear" w:color="auto" w:fill="D8D8D8"/>
          </w:tcPr>
          <w:p w14:paraId="514613CA" w14:textId="77777777" w:rsidR="003F3DE8" w:rsidRPr="00D51B7A" w:rsidRDefault="003F3DE8" w:rsidP="002A0AF2">
            <w:pPr>
              <w:pStyle w:val="Level1Body"/>
              <w:jc w:val="center"/>
              <w:rPr>
                <w:rFonts w:cs="Arial"/>
                <w:sz w:val="20"/>
                <w:u w:val="single"/>
              </w:rPr>
            </w:pPr>
            <w:r w:rsidRPr="00D51B7A">
              <w:rPr>
                <w:rFonts w:cs="Arial"/>
                <w:sz w:val="20"/>
                <w:u w:val="single"/>
              </w:rPr>
              <w:t>Question</w:t>
            </w:r>
          </w:p>
        </w:tc>
        <w:tc>
          <w:tcPr>
            <w:tcW w:w="4999" w:type="dxa"/>
            <w:shd w:val="clear" w:color="auto" w:fill="D8D8D8"/>
          </w:tcPr>
          <w:p w14:paraId="08720B19" w14:textId="77777777" w:rsidR="003F3DE8" w:rsidRPr="00D51B7A" w:rsidRDefault="003F3DE8" w:rsidP="002A0AF2">
            <w:pPr>
              <w:pStyle w:val="Level1Body"/>
              <w:jc w:val="center"/>
              <w:rPr>
                <w:rFonts w:cs="Arial"/>
                <w:sz w:val="20"/>
                <w:u w:val="single"/>
              </w:rPr>
            </w:pPr>
            <w:r w:rsidRPr="00D51B7A">
              <w:rPr>
                <w:rFonts w:cs="Arial"/>
                <w:sz w:val="20"/>
                <w:u w:val="single"/>
              </w:rPr>
              <w:t>State Response</w:t>
            </w:r>
          </w:p>
        </w:tc>
      </w:tr>
      <w:tr w:rsidR="003F3DE8" w:rsidRPr="00D51B7A" w14:paraId="07B12F17" w14:textId="77777777" w:rsidTr="00C53F9D">
        <w:tc>
          <w:tcPr>
            <w:tcW w:w="1029" w:type="dxa"/>
            <w:shd w:val="clear" w:color="auto" w:fill="auto"/>
          </w:tcPr>
          <w:p w14:paraId="675B6785" w14:textId="77777777" w:rsidR="003F3DE8" w:rsidRPr="00D51B7A" w:rsidRDefault="003F3DE8" w:rsidP="00156635">
            <w:pPr>
              <w:pStyle w:val="Level1Body"/>
              <w:rPr>
                <w:rFonts w:cs="Arial"/>
                <w:sz w:val="20"/>
              </w:rPr>
            </w:pPr>
            <w:r w:rsidRPr="00D51B7A">
              <w:rPr>
                <w:rFonts w:cs="Arial"/>
                <w:sz w:val="20"/>
              </w:rPr>
              <w:t>1.</w:t>
            </w:r>
          </w:p>
        </w:tc>
        <w:tc>
          <w:tcPr>
            <w:tcW w:w="1205" w:type="dxa"/>
            <w:shd w:val="clear" w:color="auto" w:fill="auto"/>
          </w:tcPr>
          <w:p w14:paraId="389F3FE5" w14:textId="69BFC10D" w:rsidR="003F3DE8" w:rsidRPr="00D51B7A" w:rsidRDefault="003F3DE8" w:rsidP="00156635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14:paraId="50630138" w14:textId="7C5DF925" w:rsidR="003F3DE8" w:rsidRPr="00D51B7A" w:rsidRDefault="003F3DE8" w:rsidP="00156635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13290B2" w14:textId="05221693" w:rsidR="003F3DE8" w:rsidRPr="00C61800" w:rsidRDefault="00C53F9D" w:rsidP="0069438D">
            <w:pPr>
              <w:spacing w:before="0"/>
              <w:rPr>
                <w:sz w:val="20"/>
                <w:szCs w:val="20"/>
              </w:rPr>
            </w:pPr>
            <w:r w:rsidRPr="00C53F9D">
              <w:rPr>
                <w:sz w:val="20"/>
                <w:szCs w:val="20"/>
              </w:rPr>
              <w:t>There are some significant bandwidth requirements for Hyannis Area, Maxwell, and Mullen schools. These schools area asking for 10,000 Mbps, is that bandwidth correct? Thanks!</w:t>
            </w:r>
          </w:p>
        </w:tc>
        <w:tc>
          <w:tcPr>
            <w:tcW w:w="4999" w:type="dxa"/>
            <w:shd w:val="clear" w:color="auto" w:fill="auto"/>
          </w:tcPr>
          <w:p w14:paraId="57625237" w14:textId="4F733A0A" w:rsidR="0013662C" w:rsidRDefault="0013662C" w:rsidP="0013662C">
            <w:pPr>
              <w:spacing w:before="0"/>
              <w:rPr>
                <w:sz w:val="20"/>
                <w:szCs w:val="20"/>
              </w:rPr>
            </w:pPr>
            <w:r w:rsidRPr="0013662C">
              <w:rPr>
                <w:sz w:val="20"/>
                <w:szCs w:val="20"/>
              </w:rPr>
              <w:t>The following circuits are amended as follows for Appendix A.  Also refer to Revise Appendix A Version 2.</w:t>
            </w:r>
          </w:p>
          <w:p w14:paraId="128668B4" w14:textId="77777777" w:rsidR="0013662C" w:rsidRPr="00861167" w:rsidRDefault="0013662C" w:rsidP="0013662C">
            <w:pPr>
              <w:spacing w:before="0"/>
              <w:rPr>
                <w:rFonts w:ascii="Calibri" w:hAnsi="Calibri"/>
                <w:sz w:val="18"/>
                <w:szCs w:val="18"/>
              </w:rPr>
            </w:pPr>
          </w:p>
          <w:p w14:paraId="71F8ED0E" w14:textId="77777777" w:rsidR="0013662C" w:rsidRPr="0013662C" w:rsidRDefault="0013662C" w:rsidP="0013662C">
            <w:pPr>
              <w:spacing w:before="0"/>
              <w:rPr>
                <w:sz w:val="20"/>
                <w:szCs w:val="20"/>
              </w:rPr>
            </w:pPr>
            <w:r w:rsidRPr="0013662C">
              <w:rPr>
                <w:sz w:val="20"/>
                <w:szCs w:val="20"/>
              </w:rPr>
              <w:t>Circuit#</w:t>
            </w:r>
          </w:p>
          <w:p w14:paraId="75AB338F" w14:textId="77777777" w:rsidR="0013662C" w:rsidRPr="0013662C" w:rsidRDefault="0013662C" w:rsidP="0013662C">
            <w:pPr>
              <w:spacing w:before="0"/>
              <w:rPr>
                <w:sz w:val="20"/>
                <w:szCs w:val="20"/>
              </w:rPr>
            </w:pPr>
            <w:r w:rsidRPr="0013662C">
              <w:rPr>
                <w:sz w:val="20"/>
                <w:szCs w:val="20"/>
              </w:rPr>
              <w:t>168         Gering                  25,000  should be 2,500</w:t>
            </w:r>
          </w:p>
          <w:p w14:paraId="43E5F05B" w14:textId="77777777" w:rsidR="0013662C" w:rsidRPr="0013662C" w:rsidRDefault="0013662C" w:rsidP="0013662C">
            <w:pPr>
              <w:spacing w:before="0"/>
              <w:rPr>
                <w:sz w:val="20"/>
                <w:szCs w:val="20"/>
              </w:rPr>
            </w:pPr>
            <w:r w:rsidRPr="0013662C">
              <w:rPr>
                <w:sz w:val="20"/>
                <w:szCs w:val="20"/>
              </w:rPr>
              <w:t>198         Hyannis Area     10,000 should be 1,000</w:t>
            </w:r>
          </w:p>
          <w:p w14:paraId="6742B331" w14:textId="77777777" w:rsidR="0013662C" w:rsidRPr="0013662C" w:rsidRDefault="0013662C" w:rsidP="0013662C">
            <w:pPr>
              <w:spacing w:before="0"/>
              <w:rPr>
                <w:sz w:val="20"/>
                <w:szCs w:val="20"/>
              </w:rPr>
            </w:pPr>
            <w:r w:rsidRPr="0013662C">
              <w:rPr>
                <w:sz w:val="20"/>
                <w:szCs w:val="20"/>
              </w:rPr>
              <w:t>199         Maxwell               10,000 should be 1,000</w:t>
            </w:r>
          </w:p>
          <w:p w14:paraId="0BE5BDDB" w14:textId="11D8C8E4" w:rsidR="003F3DE8" w:rsidRPr="00D51B7A" w:rsidRDefault="0013662C" w:rsidP="00861167">
            <w:pPr>
              <w:spacing w:before="0"/>
              <w:rPr>
                <w:rFonts w:cs="Arial"/>
                <w:sz w:val="20"/>
              </w:rPr>
            </w:pPr>
            <w:r w:rsidRPr="0013662C">
              <w:rPr>
                <w:sz w:val="20"/>
                <w:szCs w:val="20"/>
              </w:rPr>
              <w:t>201         Mullen           </w:t>
            </w:r>
            <w:r>
              <w:rPr>
                <w:sz w:val="20"/>
                <w:szCs w:val="20"/>
              </w:rPr>
              <w:t>       10,000 should be 1,000</w:t>
            </w:r>
          </w:p>
        </w:tc>
      </w:tr>
    </w:tbl>
    <w:p w14:paraId="13A45830" w14:textId="77777777" w:rsidR="00861167" w:rsidRDefault="00861167" w:rsidP="00565F30">
      <w:pPr>
        <w:pStyle w:val="Level1Body"/>
      </w:pPr>
    </w:p>
    <w:p w14:paraId="02D35095" w14:textId="05958BA0" w:rsidR="003F3DE8" w:rsidRDefault="003F3DE8" w:rsidP="00565F30">
      <w:pPr>
        <w:pStyle w:val="Level1Body"/>
      </w:pPr>
      <w:r w:rsidRPr="00BD5697">
        <w:t xml:space="preserve">This addendum will become part of the </w:t>
      </w:r>
      <w:r w:rsidRPr="00C92D0A">
        <w:rPr>
          <w:noProof/>
        </w:rPr>
        <w:t>RFP</w:t>
      </w:r>
      <w:r>
        <w:rPr>
          <w:color w:val="FF0000"/>
        </w:rPr>
        <w:t xml:space="preserve"> </w:t>
      </w:r>
      <w:r w:rsidRPr="00BD5697">
        <w:t xml:space="preserve">and should be acknowledged with the </w:t>
      </w:r>
      <w:r w:rsidRPr="00C92D0A">
        <w:rPr>
          <w:noProof/>
        </w:rPr>
        <w:t>Request for Proposal</w:t>
      </w:r>
      <w:r w:rsidR="00861167">
        <w:t xml:space="preserve"> response.</w:t>
      </w:r>
    </w:p>
    <w:p w14:paraId="4BDD43FE" w14:textId="027FAF73" w:rsidR="00861167" w:rsidRPr="00BD5697" w:rsidRDefault="00861167" w:rsidP="00565F30">
      <w:pPr>
        <w:pStyle w:val="Level1Body"/>
        <w:sectPr w:rsidR="00861167" w:rsidRPr="00BD5697" w:rsidSect="00A95CD7">
          <w:endnotePr>
            <w:numFmt w:val="decimal"/>
          </w:endnotePr>
          <w:type w:val="continuous"/>
          <w:pgSz w:w="12240" w:h="15840" w:code="1"/>
          <w:pgMar w:top="720" w:right="720" w:bottom="720" w:left="720" w:header="1440" w:footer="288" w:gutter="0"/>
          <w:cols w:space="720"/>
          <w:titlePg/>
          <w:docGrid w:linePitch="299"/>
        </w:sectPr>
      </w:pPr>
    </w:p>
    <w:p w14:paraId="147F7FDF" w14:textId="01B7CAD4" w:rsidR="003F3DE8" w:rsidRDefault="003F3DE8" w:rsidP="00550FC8">
      <w:pPr>
        <w:pStyle w:val="Level1Body"/>
        <w:sectPr w:rsidR="003F3DE8">
          <w:footerReference w:type="default" r:id="rId13"/>
          <w:endnotePr>
            <w:numFmt w:val="decimal"/>
          </w:endnotePr>
          <w:type w:val="continuous"/>
          <w:pgSz w:w="12240" w:h="15840" w:code="1"/>
          <w:pgMar w:top="1440" w:right="1440" w:bottom="432" w:left="1440" w:header="1440" w:footer="432" w:gutter="0"/>
          <w:cols w:space="720"/>
        </w:sectPr>
      </w:pPr>
    </w:p>
    <w:p w14:paraId="7A595B8F" w14:textId="77777777" w:rsidR="003F3DE8" w:rsidRPr="00BD5697" w:rsidRDefault="003F3DE8" w:rsidP="00861167">
      <w:pPr>
        <w:pStyle w:val="Level1Body"/>
      </w:pPr>
    </w:p>
    <w:sectPr w:rsidR="003F3DE8" w:rsidRPr="00BD5697" w:rsidSect="003F3DE8">
      <w:footerReference w:type="default" r:id="rId14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23EB1" w14:textId="77777777" w:rsidR="003F3DE8" w:rsidRDefault="003F3DE8">
      <w:r>
        <w:separator/>
      </w:r>
    </w:p>
  </w:endnote>
  <w:endnote w:type="continuationSeparator" w:id="0">
    <w:p w14:paraId="112039F2" w14:textId="77777777" w:rsidR="003F3DE8" w:rsidRDefault="003F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4692" w14:textId="77777777" w:rsidR="003F3DE8" w:rsidRDefault="003F3DE8" w:rsidP="00374F2D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C28E" w14:textId="40763683" w:rsidR="003F3DE8" w:rsidRDefault="003F3DE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861167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8C2F1" w14:textId="31FFD4AB" w:rsidR="003F3DE8" w:rsidRDefault="003F3DE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861167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B8DC" w14:textId="529D9591"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861167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21B9" w14:textId="77777777" w:rsidR="003F3DE8" w:rsidRDefault="003F3DE8">
      <w:r>
        <w:separator/>
      </w:r>
    </w:p>
  </w:footnote>
  <w:footnote w:type="continuationSeparator" w:id="0">
    <w:p w14:paraId="7B3F5CD8" w14:textId="77777777" w:rsidR="003F3DE8" w:rsidRDefault="003F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6D4B" w14:textId="77777777" w:rsidR="003F3DE8" w:rsidRDefault="003F3DE8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65593E"/>
    <w:multiLevelType w:val="hybridMultilevel"/>
    <w:tmpl w:val="B0E27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1">
    <w:nsid w:val="13AF449E"/>
    <w:multiLevelType w:val="hybridMultilevel"/>
    <w:tmpl w:val="4E5A26C8"/>
    <w:lvl w:ilvl="0" w:tplc="70F03ADC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22"/>
      </w:rPr>
    </w:lvl>
    <w:lvl w:ilvl="1" w:tplc="667E691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1750C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7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2E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E1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CF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CD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EB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5" w15:restartNumberingAfterBreak="1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1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1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1">
    <w:nsid w:val="24EB14A7"/>
    <w:multiLevelType w:val="multilevel"/>
    <w:tmpl w:val="3A4E30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1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1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1">
    <w:nsid w:val="31956A27"/>
    <w:multiLevelType w:val="multilevel"/>
    <w:tmpl w:val="E3D0440C"/>
    <w:numStyleLink w:val="SchedofEvents-Numbered"/>
  </w:abstractNum>
  <w:abstractNum w:abstractNumId="23" w15:restartNumberingAfterBreak="1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1">
    <w:nsid w:val="438A4C19"/>
    <w:multiLevelType w:val="hybridMultilevel"/>
    <w:tmpl w:val="47169E0E"/>
    <w:lvl w:ilvl="0" w:tplc="4B94F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FAB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786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21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8D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AA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8E5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C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C82E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44A541F7"/>
    <w:multiLevelType w:val="hybridMultilevel"/>
    <w:tmpl w:val="BB683352"/>
    <w:lvl w:ilvl="0" w:tplc="10D8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63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88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C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67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BAB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29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C3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4A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1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1">
    <w:nsid w:val="55F1555B"/>
    <w:multiLevelType w:val="multilevel"/>
    <w:tmpl w:val="E3D0440C"/>
    <w:numStyleLink w:val="SchedofEvents-Numbered"/>
  </w:abstractNum>
  <w:abstractNum w:abstractNumId="29" w15:restartNumberingAfterBreak="1">
    <w:nsid w:val="5BC42A96"/>
    <w:multiLevelType w:val="hybridMultilevel"/>
    <w:tmpl w:val="59FCB356"/>
    <w:lvl w:ilvl="0" w:tplc="46D01E4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3F749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E66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60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D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4D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E0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A6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E6B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1">
    <w:nsid w:val="69D4368C"/>
    <w:multiLevelType w:val="multilevel"/>
    <w:tmpl w:val="E3D0440C"/>
    <w:numStyleLink w:val="SchedofEvents-Numbered"/>
  </w:abstractNum>
  <w:abstractNum w:abstractNumId="32" w15:restartNumberingAfterBreak="1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1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7CA47609"/>
    <w:multiLevelType w:val="hybridMultilevel"/>
    <w:tmpl w:val="733C1EE4"/>
    <w:lvl w:ilvl="0" w:tplc="62E8BBDC">
      <w:start w:val="4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6" w15:restartNumberingAfterBreak="1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2"/>
  </w:num>
  <w:num w:numId="5">
    <w:abstractNumId w:val="30"/>
  </w:num>
  <w:num w:numId="6">
    <w:abstractNumId w:val="36"/>
  </w:num>
  <w:num w:numId="7">
    <w:abstractNumId w:val="16"/>
  </w:num>
  <w:num w:numId="8">
    <w:abstractNumId w:val="13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3"/>
  </w:num>
  <w:num w:numId="15">
    <w:abstractNumId w:val="10"/>
  </w:num>
  <w:num w:numId="16">
    <w:abstractNumId w:val="26"/>
  </w:num>
  <w:num w:numId="17">
    <w:abstractNumId w:val="24"/>
  </w:num>
  <w:num w:numId="18">
    <w:abstractNumId w:val="32"/>
  </w:num>
  <w:num w:numId="19">
    <w:abstractNumId w:val="15"/>
  </w:num>
  <w:num w:numId="20">
    <w:abstractNumId w:val="31"/>
  </w:num>
  <w:num w:numId="21">
    <w:abstractNumId w:val="28"/>
  </w:num>
  <w:num w:numId="22">
    <w:abstractNumId w:val="22"/>
  </w:num>
  <w:num w:numId="23">
    <w:abstractNumId w:val="3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9"/>
  </w:num>
  <w:num w:numId="42">
    <w:abstractNumId w:val="15"/>
  </w:num>
  <w:num w:numId="43">
    <w:abstractNumId w:val="13"/>
  </w:num>
  <w:num w:numId="44">
    <w:abstractNumId w:val="1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1348D"/>
    <w:rsid w:val="00053790"/>
    <w:rsid w:val="000848C9"/>
    <w:rsid w:val="000878CA"/>
    <w:rsid w:val="000B1D72"/>
    <w:rsid w:val="000B428C"/>
    <w:rsid w:val="000C5432"/>
    <w:rsid w:val="000C5DA1"/>
    <w:rsid w:val="000D69C3"/>
    <w:rsid w:val="000D79DE"/>
    <w:rsid w:val="000E1E41"/>
    <w:rsid w:val="001134F7"/>
    <w:rsid w:val="00134CCE"/>
    <w:rsid w:val="0013662C"/>
    <w:rsid w:val="00156635"/>
    <w:rsid w:val="00156FB7"/>
    <w:rsid w:val="00182AD4"/>
    <w:rsid w:val="00184504"/>
    <w:rsid w:val="00195AFF"/>
    <w:rsid w:val="001A31C9"/>
    <w:rsid w:val="001A5FA3"/>
    <w:rsid w:val="001B7621"/>
    <w:rsid w:val="001C5FA2"/>
    <w:rsid w:val="001E7F55"/>
    <w:rsid w:val="001F6C28"/>
    <w:rsid w:val="002049B0"/>
    <w:rsid w:val="00210AED"/>
    <w:rsid w:val="00212CF9"/>
    <w:rsid w:val="00230879"/>
    <w:rsid w:val="0025668F"/>
    <w:rsid w:val="002709F9"/>
    <w:rsid w:val="002A0AF2"/>
    <w:rsid w:val="002D71BD"/>
    <w:rsid w:val="002E4E3B"/>
    <w:rsid w:val="002F5695"/>
    <w:rsid w:val="002F5E14"/>
    <w:rsid w:val="00301CB5"/>
    <w:rsid w:val="00307D7C"/>
    <w:rsid w:val="0031330E"/>
    <w:rsid w:val="00314B87"/>
    <w:rsid w:val="00373F0F"/>
    <w:rsid w:val="00374F2D"/>
    <w:rsid w:val="00376645"/>
    <w:rsid w:val="003B684B"/>
    <w:rsid w:val="003C0E74"/>
    <w:rsid w:val="003C4D6F"/>
    <w:rsid w:val="003D5608"/>
    <w:rsid w:val="003E742C"/>
    <w:rsid w:val="003F3DE8"/>
    <w:rsid w:val="003F6539"/>
    <w:rsid w:val="00414CF7"/>
    <w:rsid w:val="004152A3"/>
    <w:rsid w:val="00433F6F"/>
    <w:rsid w:val="00446D8B"/>
    <w:rsid w:val="0046182B"/>
    <w:rsid w:val="004926FD"/>
    <w:rsid w:val="00495C72"/>
    <w:rsid w:val="00495FBB"/>
    <w:rsid w:val="00497BBB"/>
    <w:rsid w:val="004D3B7F"/>
    <w:rsid w:val="00505883"/>
    <w:rsid w:val="00521758"/>
    <w:rsid w:val="005315D8"/>
    <w:rsid w:val="00550FC8"/>
    <w:rsid w:val="005619E1"/>
    <w:rsid w:val="00565F30"/>
    <w:rsid w:val="0058191C"/>
    <w:rsid w:val="005C113D"/>
    <w:rsid w:val="00620229"/>
    <w:rsid w:val="00631342"/>
    <w:rsid w:val="0065317C"/>
    <w:rsid w:val="00672EB5"/>
    <w:rsid w:val="00684B76"/>
    <w:rsid w:val="0069438D"/>
    <w:rsid w:val="006A3412"/>
    <w:rsid w:val="006B392D"/>
    <w:rsid w:val="006C0810"/>
    <w:rsid w:val="006C7F7A"/>
    <w:rsid w:val="007124F4"/>
    <w:rsid w:val="007237A1"/>
    <w:rsid w:val="007247B7"/>
    <w:rsid w:val="00740947"/>
    <w:rsid w:val="00744C0B"/>
    <w:rsid w:val="00754004"/>
    <w:rsid w:val="00795F1F"/>
    <w:rsid w:val="007A607A"/>
    <w:rsid w:val="007C187D"/>
    <w:rsid w:val="007E3261"/>
    <w:rsid w:val="007E6FBB"/>
    <w:rsid w:val="00825B01"/>
    <w:rsid w:val="00861167"/>
    <w:rsid w:val="0086338A"/>
    <w:rsid w:val="008909B1"/>
    <w:rsid w:val="008B1CA2"/>
    <w:rsid w:val="0090088E"/>
    <w:rsid w:val="009028B1"/>
    <w:rsid w:val="00927B54"/>
    <w:rsid w:val="00930751"/>
    <w:rsid w:val="0093111C"/>
    <w:rsid w:val="00944C93"/>
    <w:rsid w:val="00947D6D"/>
    <w:rsid w:val="00985593"/>
    <w:rsid w:val="00987AFA"/>
    <w:rsid w:val="009A795A"/>
    <w:rsid w:val="009C51C0"/>
    <w:rsid w:val="009C6278"/>
    <w:rsid w:val="009F49D3"/>
    <w:rsid w:val="00A01E94"/>
    <w:rsid w:val="00A070A7"/>
    <w:rsid w:val="00A544AD"/>
    <w:rsid w:val="00A8251B"/>
    <w:rsid w:val="00A95CD7"/>
    <w:rsid w:val="00AA0F1D"/>
    <w:rsid w:val="00AB1852"/>
    <w:rsid w:val="00AB7B7D"/>
    <w:rsid w:val="00B04380"/>
    <w:rsid w:val="00B061E4"/>
    <w:rsid w:val="00B4087F"/>
    <w:rsid w:val="00B5542E"/>
    <w:rsid w:val="00B6765A"/>
    <w:rsid w:val="00B83C14"/>
    <w:rsid w:val="00BB17D2"/>
    <w:rsid w:val="00BD5697"/>
    <w:rsid w:val="00BE5A1E"/>
    <w:rsid w:val="00C262CC"/>
    <w:rsid w:val="00C2659A"/>
    <w:rsid w:val="00C317B5"/>
    <w:rsid w:val="00C35F83"/>
    <w:rsid w:val="00C46BD3"/>
    <w:rsid w:val="00C4790E"/>
    <w:rsid w:val="00C53F9D"/>
    <w:rsid w:val="00C54AAE"/>
    <w:rsid w:val="00C55D96"/>
    <w:rsid w:val="00C61800"/>
    <w:rsid w:val="00CB1158"/>
    <w:rsid w:val="00CB34CD"/>
    <w:rsid w:val="00CB3ED6"/>
    <w:rsid w:val="00CD21C3"/>
    <w:rsid w:val="00CE7602"/>
    <w:rsid w:val="00CF753A"/>
    <w:rsid w:val="00D245F6"/>
    <w:rsid w:val="00D51B7A"/>
    <w:rsid w:val="00D5390D"/>
    <w:rsid w:val="00D60269"/>
    <w:rsid w:val="00D75131"/>
    <w:rsid w:val="00D90D97"/>
    <w:rsid w:val="00DA7CD3"/>
    <w:rsid w:val="00DB1758"/>
    <w:rsid w:val="00DB23F7"/>
    <w:rsid w:val="00DD2DBC"/>
    <w:rsid w:val="00E16298"/>
    <w:rsid w:val="00E360DF"/>
    <w:rsid w:val="00E37B3E"/>
    <w:rsid w:val="00E4723E"/>
    <w:rsid w:val="00E537BB"/>
    <w:rsid w:val="00E55E8F"/>
    <w:rsid w:val="00E60093"/>
    <w:rsid w:val="00E80044"/>
    <w:rsid w:val="00E85095"/>
    <w:rsid w:val="00E92AC8"/>
    <w:rsid w:val="00EE7171"/>
    <w:rsid w:val="00F102EA"/>
    <w:rsid w:val="00F10BEC"/>
    <w:rsid w:val="00F12062"/>
    <w:rsid w:val="00F62487"/>
    <w:rsid w:val="00F86176"/>
    <w:rsid w:val="00F91450"/>
    <w:rsid w:val="00FB04DC"/>
    <w:rsid w:val="00FC03C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2965DF6"/>
  <w15:chartTrackingRefBased/>
  <w15:docId w15:val="{87D84C95-346D-4763-841D-EE332966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rsid w:val="00AA0F1D"/>
    <w:pPr>
      <w:numPr>
        <w:numId w:val="44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link w:val="Level2BodyChar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374F2D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374F2D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56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CD7"/>
    <w:rPr>
      <w:color w:val="0000FF"/>
      <w:u w:val="single"/>
    </w:rPr>
  </w:style>
  <w:style w:type="character" w:styleId="CommentReference">
    <w:name w:val="annotation reference"/>
    <w:basedOn w:val="DefaultParagraphFont"/>
    <w:rsid w:val="000848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8C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84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48C9"/>
    <w:rPr>
      <w:rFonts w:ascii="Arial" w:hAnsi="Arial"/>
      <w:b/>
      <w:bCs/>
    </w:rPr>
  </w:style>
  <w:style w:type="character" w:customStyle="1" w:styleId="Level2BodyChar">
    <w:name w:val="Level 2 Body Char"/>
    <w:link w:val="Level2Body"/>
    <w:rsid w:val="00861167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s.nebraska.gov/materiel/purchasing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s.nebraska.gov/materiel/purchasing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59DB-7697-4B85-B51A-FE3A0489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Dianna Gilliland</cp:lastModifiedBy>
  <cp:revision>9</cp:revision>
  <cp:lastPrinted>2020-01-23T22:32:00Z</cp:lastPrinted>
  <dcterms:created xsi:type="dcterms:W3CDTF">2020-01-31T15:20:00Z</dcterms:created>
  <dcterms:modified xsi:type="dcterms:W3CDTF">2020-01-31T19:42:00Z</dcterms:modified>
</cp:coreProperties>
</file>